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6C" w:rsidRDefault="002C2A6C" w:rsidP="002C2A6C">
      <w:pPr>
        <w:spacing w:line="288" w:lineRule="auto"/>
        <w:jc w:val="center"/>
        <w:rPr>
          <w:szCs w:val="28"/>
          <w:lang w:eastAsia="ru-RU"/>
        </w:rPr>
      </w:pPr>
      <w:r w:rsidRPr="00665A36">
        <w:rPr>
          <w:szCs w:val="28"/>
          <w:lang w:eastAsia="ru-RU"/>
        </w:rPr>
        <w:t xml:space="preserve">МИНИСТЕРСТВО НАУКИ И ВЫСШЕГО ОБРАЗОВАНИЯ </w:t>
      </w:r>
      <w:r>
        <w:rPr>
          <w:szCs w:val="28"/>
          <w:lang w:eastAsia="ru-RU"/>
        </w:rPr>
        <w:t>РФ</w:t>
      </w:r>
    </w:p>
    <w:p w:rsidR="002C2A6C" w:rsidRDefault="002C2A6C" w:rsidP="002C2A6C">
      <w:pPr>
        <w:spacing w:line="288" w:lineRule="auto"/>
        <w:jc w:val="center"/>
        <w:rPr>
          <w:szCs w:val="28"/>
          <w:lang w:eastAsia="ru-RU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2C2A6C" w:rsidRDefault="002C2A6C" w:rsidP="002C2A6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2C2A6C" w:rsidRDefault="002C2A6C" w:rsidP="002C2A6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Pr="001524A0">
        <w:rPr>
          <w:rFonts w:ascii="Times New Roman CYR" w:hAnsi="Times New Roman CYR"/>
          <w:szCs w:val="28"/>
        </w:rPr>
        <w:t>ЭКОНОМИЧЕСКАЯ БЕЗОПАСНОСТЬ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:rsidR="002C2A6C" w:rsidRPr="003E53CB" w:rsidRDefault="002C2A6C" w:rsidP="002C2A6C">
      <w:pPr>
        <w:spacing w:line="288" w:lineRule="auto"/>
        <w:jc w:val="center"/>
        <w:rPr>
          <w:rFonts w:ascii="Calibri" w:hAnsi="Calibri"/>
          <w:szCs w:val="28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2C2A6C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  <w:sectPr w:rsidR="002C2A6C" w:rsidSect="003124C8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2C2A6C" w:rsidRPr="00162E92" w:rsidRDefault="002C2A6C" w:rsidP="002C2A6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Pr="001524A0">
        <w:rPr>
          <w:rFonts w:ascii="Times New Roman CYR" w:hAnsi="Times New Roman CYR"/>
          <w:lang w:eastAsia="ru-RU"/>
        </w:rPr>
        <w:t>Экономическая безопасность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753FE7">
        <w:rPr>
          <w:rFonts w:ascii="Times New Roman CYR" w:hAnsi="Times New Roman CYR"/>
          <w:szCs w:val="23"/>
          <w:lang w:eastAsia="ru-RU"/>
        </w:rPr>
        <w:t>5</w:t>
      </w:r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2C2A6C" w:rsidRPr="00162E92" w:rsidRDefault="002C2A6C" w:rsidP="002C2A6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2C2A6C" w:rsidRDefault="002C2A6C" w:rsidP="002C2A6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</w:t>
      </w:r>
      <w:proofErr w:type="gramStart"/>
      <w:r w:rsidRPr="00162E92">
        <w:rPr>
          <w:rFonts w:ascii="Times New Roman CYR" w:hAnsi="Times New Roman CYR"/>
          <w:lang w:eastAsia="zh-CN"/>
        </w:rPr>
        <w:t>обучающихся</w:t>
      </w:r>
      <w:proofErr w:type="gramEnd"/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специал</w:t>
      </w:r>
      <w:bookmarkStart w:id="0" w:name="_GoBack"/>
      <w:bookmarkEnd w:id="0"/>
      <w:r>
        <w:rPr>
          <w:rFonts w:ascii="Times New Roman CYR" w:hAnsi="Times New Roman CYR"/>
          <w:lang w:eastAsia="zh-CN"/>
        </w:rPr>
        <w:t>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:rsidR="002C2A6C" w:rsidRPr="00162E92" w:rsidRDefault="002C2A6C" w:rsidP="002C2A6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2C2A6C" w:rsidRPr="001524A0" w:rsidRDefault="002C2A6C" w:rsidP="002C2A6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</w:t>
      </w:r>
      <w:proofErr w:type="gramStart"/>
      <w:r w:rsidRPr="001524A0">
        <w:rPr>
          <w:szCs w:val="28"/>
        </w:rPr>
        <w:t>обучающихся</w:t>
      </w:r>
      <w:proofErr w:type="gramEnd"/>
      <w:r w:rsidRPr="001524A0">
        <w:rPr>
          <w:szCs w:val="28"/>
        </w:rPr>
        <w:t xml:space="preserve">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:rsidR="002C2A6C" w:rsidRPr="001524A0" w:rsidRDefault="002C2A6C" w:rsidP="002C2A6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Понятие и сущность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Экономическая безопасность в системе национальной безопасности Российской Федерации.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Объекты и субъекты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Концепция экономической безопасности Российской Федерации.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Государственная система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Нормативно-правовые акты в области национальной и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Экономическая безопасность в реальном секторе экономики.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Инвестиционный и инновационный кризис в России: проблемы и пути решения.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Обеспечение экономической безопасности в секторе услуг.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Проблемы охраны интеллектуальной собственности и инструменты ее защиты в системе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Финансовая безопасность страны: основные проблемы и инструменты обеспечения.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Бегство капитала: сущность, масштабы и меры противодействия.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Региональная политика и проблемы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Приоритеты государственной социальной политики в стратегии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«Теневая экономика»: сущность, структура, масштабы и факторы динамики.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Методы выявления оценки параметров «теневой экономики».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Социально-экономические последствия теневой экономической деятельности.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Экономическая безопасность России во внешнеэкономической сфере.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Оффшорный бизнес и защита интересов России.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Роль и функции таможенных органов в обеспечении экономической безопасности внешнеэкономической сферы.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Применение норм международного и таможенного законодательства при осуществлении таможенных процедур.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Экономические риски, природа и сущность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Признаки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Угрозы национальной безопасности Российской Федерации.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lastRenderedPageBreak/>
        <w:t xml:space="preserve">Выявление и устранение причин и условий, способствующих зарождению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Выявление угроз экономической безопасности, их ранжирование по вероятности реализации и величине ущерба.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Методы оценки и анализа уровня рисков и угроз в сфере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Мероприятия по локализации и нейтрализации рисков и угроз в сфере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Оценка уровня экономической безопасности хозяйствующего субъекта.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Оценка уровня экономической безопасности отрасли.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Оценка уровня экономической безопасности региона.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Общие и специфические методы анализа состояния экономической безопасности хозяйствующего субъекта, отрасли, региона.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Критерии и показатели уровня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Пороговые значения показателей уровня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Организационно-правовые основы, принципы и факторы обеспечения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Механизмы, методы и средства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Моделирование системы обеспечения экономической безопасности для различных типов предприятий, учреждений, организаций.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Принципы построения и элементы системы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Основные проблемы обеспечения экономической безопасности и пути их решения.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Направления и особенности правоохранительной деятельности в сфере обеспечения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Роль и место правоохранительной деятельности в укреплении законности и правопорядка.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Органы внешней разведки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Органы Федеральной таможенной службы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Федеральная служба безопасности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Министерство внутренних дел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Взаимодействие государственных правоохранительных органов по выявлению, предупреждению, раскрытию и расследованию экономических преступлений.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Деятельность правоохранительных органов по обеспечению экономической безопасности на уровне федерального округа.</w:t>
      </w:r>
    </w:p>
    <w:p w:rsidR="002C2A6C" w:rsidRDefault="002C2A6C" w:rsidP="002C2A6C">
      <w:pPr>
        <w:rPr>
          <w:szCs w:val="28"/>
        </w:rPr>
      </w:pPr>
    </w:p>
    <w:p w:rsidR="00896608" w:rsidRPr="00896608" w:rsidRDefault="00896608" w:rsidP="00896608">
      <w:pPr>
        <w:ind w:firstLine="709"/>
        <w:jc w:val="center"/>
      </w:pPr>
      <w:r w:rsidRPr="00896608">
        <w:t>2</w:t>
      </w:r>
      <w:r w:rsidRPr="00896608">
        <w:t xml:space="preserve">. </w:t>
      </w:r>
      <w:bookmarkStart w:id="1" w:name="_Toc149688209"/>
      <w:bookmarkStart w:id="2" w:name="_Toc149688265"/>
      <w:bookmarkStart w:id="3" w:name="_Toc149693832"/>
      <w:r w:rsidRPr="00896608">
        <w:t>Учебно-методические материалы и программно-информационное обеспечение</w:t>
      </w:r>
      <w:bookmarkEnd w:id="1"/>
      <w:bookmarkEnd w:id="2"/>
      <w:bookmarkEnd w:id="3"/>
    </w:p>
    <w:p w:rsidR="00896608" w:rsidRDefault="00896608" w:rsidP="00896608">
      <w:pPr>
        <w:rPr>
          <w:b/>
          <w:sz w:val="22"/>
        </w:rPr>
        <w:sectPr w:rsidR="00896608" w:rsidSect="00BB6850">
          <w:pgSz w:w="11906" w:h="16838"/>
          <w:pgMar w:top="851" w:right="1134" w:bottom="851" w:left="851" w:header="720" w:footer="720" w:gutter="284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970"/>
        <w:gridCol w:w="1152"/>
        <w:gridCol w:w="1244"/>
        <w:gridCol w:w="609"/>
        <w:gridCol w:w="931"/>
        <w:gridCol w:w="809"/>
        <w:gridCol w:w="2955"/>
        <w:gridCol w:w="603"/>
      </w:tblGrid>
      <w:tr w:rsidR="003256FB" w:rsidRPr="003256FB" w:rsidTr="00753FE7">
        <w:trPr>
          <w:cantSplit/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lastRenderedPageBreak/>
              <w:t>Ссылка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Автор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 xml:space="preserve">Издательство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Год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Вид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Кол-во в библиотеке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  <w:lang w:eastAsia="ru-RU"/>
              </w:rPr>
              <w:t>Адрес электронного ресурса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  <w:lang w:eastAsia="ru-RU"/>
              </w:rPr>
              <w:t>Вид доступа</w:t>
            </w:r>
          </w:p>
        </w:tc>
      </w:tr>
      <w:tr w:rsidR="003256FB" w:rsidRPr="003256FB" w:rsidTr="00753FE7">
        <w:trPr>
          <w:trHeight w:val="1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9</w:t>
            </w:r>
          </w:p>
        </w:tc>
      </w:tr>
      <w:tr w:rsidR="003256FB" w:rsidRPr="003256FB" w:rsidTr="00753FE7">
        <w:trPr>
          <w:trHeight w:val="29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6.1 Основная литература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proofErr w:type="spellStart"/>
            <w:r w:rsidRPr="003256FB">
              <w:rPr>
                <w:sz w:val="24"/>
                <w:szCs w:val="24"/>
                <w:lang w:eastAsia="ru-RU"/>
              </w:rPr>
              <w:t>Суглобов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 А.Е.,</w:t>
            </w:r>
          </w:p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Хмелев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С.А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.,</w:t>
            </w:r>
          </w:p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Орлова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Е.А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Экономическая безопасность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9" w:history="1"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=118957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bCs/>
                <w:sz w:val="24"/>
                <w:szCs w:val="24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Криворотов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В.В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., </w:t>
            </w:r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bCs/>
                <w:sz w:val="24"/>
                <w:szCs w:val="24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Калина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А.В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., </w:t>
            </w:r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Н.Д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 государства и регионов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r w:rsidRPr="003256FB">
              <w:rPr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hyperlink r:id="rId10" w:history="1"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/52598</w:t>
              </w:r>
            </w:hyperlink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Богомолов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В.А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hyperlink r:id="rId11" w:history="1"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/52600</w:t>
              </w:r>
            </w:hyperlink>
            <w:r w:rsidRPr="003256FB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</w:rPr>
              <w:t>6.2 Дополнительная литература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Фирсова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О.А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Орел: Межрегиональная Академия безопасности и выживания (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МАБИВ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r w:rsidRPr="003256FB">
              <w:rPr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widowControl w:val="0"/>
              <w:spacing w:line="240" w:lineRule="auto"/>
              <w:ind w:left="-111" w:right="-101" w:firstLine="0"/>
              <w:jc w:val="center"/>
              <w:rPr>
                <w:sz w:val="24"/>
                <w:szCs w:val="24"/>
                <w:lang w:eastAsia="ru-RU"/>
              </w:rPr>
            </w:pPr>
            <w:hyperlink r:id="rId12" w:history="1"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/33466</w:t>
              </w:r>
            </w:hyperlink>
          </w:p>
          <w:p w:rsidR="003256FB" w:rsidRPr="003256FB" w:rsidRDefault="003256FB" w:rsidP="003256FB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Богомолов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В.А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Введение в специальность «Экономическая безопасность»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13" w:history="1"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=118569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jc w:val="left"/>
              <w:rPr>
                <w:sz w:val="23"/>
                <w:szCs w:val="23"/>
                <w:lang w:eastAsia="ru-RU"/>
              </w:rPr>
            </w:pPr>
            <w:proofErr w:type="spellStart"/>
            <w:r w:rsidRPr="003256FB">
              <w:rPr>
                <w:sz w:val="24"/>
                <w:szCs w:val="24"/>
                <w:lang w:eastAsia="ru-RU"/>
              </w:rPr>
              <w:t>Трунцевский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Ю.В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., Петросян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О.Ш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Экономические и финансовые преступления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14" w:history="1"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=114563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6.3 Периодические издания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bCs/>
                <w:sz w:val="23"/>
                <w:szCs w:val="23"/>
                <w:shd w:val="clear" w:color="auto" w:fill="FFFFFF"/>
                <w:lang w:eastAsia="ru-RU"/>
              </w:rPr>
            </w:pPr>
            <w:r w:rsidRPr="003256FB">
              <w:rPr>
                <w:bCs/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3256FB">
              <w:rPr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-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 xml:space="preserve">6.4 Программно-информационное обеспечение, </w:t>
            </w:r>
            <w:proofErr w:type="spellStart"/>
            <w:r w:rsidRPr="003256FB">
              <w:rPr>
                <w:rFonts w:eastAsia="Calibri"/>
                <w:sz w:val="23"/>
                <w:szCs w:val="23"/>
              </w:rPr>
              <w:t>ЭБС</w:t>
            </w:r>
            <w:proofErr w:type="spellEnd"/>
            <w:r w:rsidRPr="003256FB">
              <w:rPr>
                <w:rFonts w:eastAsia="Calibri"/>
                <w:sz w:val="23"/>
                <w:szCs w:val="23"/>
              </w:rPr>
              <w:t xml:space="preserve"> (в том числе электронные ресурсы свободного доступа)</w:t>
            </w:r>
          </w:p>
        </w:tc>
      </w:tr>
      <w:tr w:rsidR="003256FB" w:rsidRPr="003256FB" w:rsidTr="00753FE7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lastRenderedPageBreak/>
              <w:t>2</w:t>
            </w:r>
            <w:r w:rsidRPr="003256FB">
              <w:rPr>
                <w:rFonts w:eastAsia="Calibri"/>
                <w:sz w:val="23"/>
                <w:szCs w:val="23"/>
              </w:rPr>
              <w:t>.4.1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 «</w:t>
            </w:r>
            <w:proofErr w:type="spellStart"/>
            <w:r w:rsidRPr="003256FB">
              <w:rPr>
                <w:sz w:val="23"/>
                <w:szCs w:val="23"/>
                <w:lang w:eastAsia="ru-RU"/>
              </w:rPr>
              <w:t>КонсультантПлюс</w:t>
            </w:r>
            <w:proofErr w:type="spellEnd"/>
            <w:r w:rsidRPr="003256FB">
              <w:rPr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5" w:history="1">
              <w:r w:rsidRPr="003256FB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http://www.consultant.ru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.4.2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 «Гарант»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6" w:history="1">
              <w:r w:rsidRPr="003256FB">
                <w:rPr>
                  <w:rFonts w:eastAsia="Calibri"/>
                  <w:color w:val="0563C1"/>
                  <w:sz w:val="23"/>
                  <w:szCs w:val="23"/>
                  <w:u w:val="single"/>
                </w:rPr>
                <w:t>http://www.garant.ru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.4.3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Министерство финансов РФ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Сайт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7" w:history="1">
              <w:r w:rsidRPr="003256FB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www.minfin.ru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</w:tbl>
    <w:p w:rsidR="00131485" w:rsidRPr="00547247" w:rsidRDefault="00131485" w:rsidP="002C2A6C">
      <w:pPr>
        <w:rPr>
          <w:szCs w:val="28"/>
        </w:rPr>
      </w:pPr>
    </w:p>
    <w:p w:rsidR="002C2A6C" w:rsidRDefault="002C2A6C" w:rsidP="002C2A6C">
      <w:pPr>
        <w:ind w:firstLine="0"/>
      </w:pPr>
    </w:p>
    <w:p w:rsidR="00816496" w:rsidRPr="002C2A6C" w:rsidRDefault="00816496" w:rsidP="002C2A6C"/>
    <w:sectPr w:rsidR="00816496" w:rsidRPr="002C2A6C" w:rsidSect="003124C8">
      <w:footerReference w:type="default" r:id="rId18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1E9" w:rsidRDefault="008831E9">
      <w:pPr>
        <w:spacing w:line="240" w:lineRule="auto"/>
      </w:pPr>
      <w:r>
        <w:separator/>
      </w:r>
    </w:p>
  </w:endnote>
  <w:endnote w:type="continuationSeparator" w:id="0">
    <w:p w:rsidR="008831E9" w:rsidRDefault="008831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3587"/>
      <w:docPartObj>
        <w:docPartGallery w:val="Page Numbers (Bottom of Page)"/>
        <w:docPartUnique/>
      </w:docPartObj>
    </w:sdtPr>
    <w:sdtContent>
      <w:p w:rsidR="002C2A6C" w:rsidRDefault="002C2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FE7">
          <w:rPr>
            <w:noProof/>
          </w:rPr>
          <w:t>2</w:t>
        </w:r>
        <w:r>
          <w:fldChar w:fldCharType="end"/>
        </w:r>
      </w:p>
    </w:sdtContent>
  </w:sdt>
  <w:p w:rsidR="002C2A6C" w:rsidRDefault="002C2A6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227227"/>
      <w:docPartObj>
        <w:docPartGallery w:val="Page Numbers (Bottom of Page)"/>
        <w:docPartUnique/>
      </w:docPartObj>
    </w:sdtPr>
    <w:sdtEndPr/>
    <w:sdtContent>
      <w:p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FE7">
          <w:rPr>
            <w:noProof/>
          </w:rPr>
          <w:t>6</w:t>
        </w:r>
        <w:r>
          <w:fldChar w:fldCharType="end"/>
        </w:r>
      </w:p>
    </w:sdtContent>
  </w:sdt>
  <w:p w:rsidR="003124C8" w:rsidRDefault="008831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1E9" w:rsidRDefault="008831E9">
      <w:pPr>
        <w:spacing w:line="240" w:lineRule="auto"/>
      </w:pPr>
      <w:r>
        <w:separator/>
      </w:r>
    </w:p>
  </w:footnote>
  <w:footnote w:type="continuationSeparator" w:id="0">
    <w:p w:rsidR="008831E9" w:rsidRDefault="008831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67D52"/>
    <w:multiLevelType w:val="hybridMultilevel"/>
    <w:tmpl w:val="A6D60268"/>
    <w:lvl w:ilvl="0" w:tplc="CEE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131485"/>
    <w:rsid w:val="00270FCA"/>
    <w:rsid w:val="002C2A6C"/>
    <w:rsid w:val="0030330A"/>
    <w:rsid w:val="003256FB"/>
    <w:rsid w:val="004A714C"/>
    <w:rsid w:val="00697DEB"/>
    <w:rsid w:val="0074533B"/>
    <w:rsid w:val="00753FE7"/>
    <w:rsid w:val="00762234"/>
    <w:rsid w:val="00816496"/>
    <w:rsid w:val="008831E9"/>
    <w:rsid w:val="00896608"/>
    <w:rsid w:val="008C50C2"/>
    <w:rsid w:val="00930564"/>
    <w:rsid w:val="00AA4126"/>
    <w:rsid w:val="00AF3148"/>
    <w:rsid w:val="00B956D1"/>
    <w:rsid w:val="00C53C05"/>
    <w:rsid w:val="00CA1B1F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118569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33466" TargetMode="External"/><Relationship Id="rId17" Type="http://schemas.openxmlformats.org/officeDocument/2006/relationships/hyperlink" Target="http://www.minfi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526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iprbookshop.ru/5259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8957" TargetMode="External"/><Relationship Id="rId14" Type="http://schemas.openxmlformats.org/officeDocument/2006/relationships/hyperlink" Target="http://biblioclub.ru/index.php?page=book&amp;id=114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2020-09-13T11:57:00Z</dcterms:created>
  <dcterms:modified xsi:type="dcterms:W3CDTF">2020-09-13T13:23:00Z</dcterms:modified>
</cp:coreProperties>
</file>